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2D9" w:rsidRPr="002A12D9" w:rsidRDefault="002A12D9" w:rsidP="002A12D9">
      <w:pPr>
        <w:pStyle w:val="NoSpacing"/>
        <w:rPr>
          <w:rFonts w:ascii="Times New Roman" w:hAnsi="Times New Roman" w:cs="Times New Roman"/>
        </w:rPr>
      </w:pPr>
      <w:r w:rsidRPr="002A12D9">
        <w:rPr>
          <w:rFonts w:ascii="Times New Roman" w:hAnsi="Times New Roman" w:cs="Times New Roman"/>
        </w:rPr>
        <w:t>Minutes: General Education Subcommittee of the Universit</w:t>
      </w:r>
      <w:r w:rsidR="00F53672">
        <w:rPr>
          <w:rFonts w:ascii="Times New Roman" w:hAnsi="Times New Roman" w:cs="Times New Roman"/>
        </w:rPr>
        <w:t xml:space="preserve">y Curriculum Committee – </w:t>
      </w:r>
      <w:r w:rsidR="00FF62FD">
        <w:rPr>
          <w:rFonts w:ascii="Times New Roman" w:hAnsi="Times New Roman" w:cs="Times New Roman"/>
        </w:rPr>
        <w:t>11/18</w:t>
      </w:r>
      <w:r w:rsidR="00F53672">
        <w:rPr>
          <w:rFonts w:ascii="Times New Roman" w:hAnsi="Times New Roman" w:cs="Times New Roman"/>
        </w:rPr>
        <w:t>/15</w:t>
      </w:r>
    </w:p>
    <w:p w:rsidR="002A12D9" w:rsidRPr="002A12D9" w:rsidRDefault="002A12D9" w:rsidP="002A12D9">
      <w:pPr>
        <w:pStyle w:val="NoSpacing"/>
        <w:rPr>
          <w:rFonts w:ascii="Times New Roman" w:hAnsi="Times New Roman" w:cs="Times New Roman"/>
        </w:rPr>
      </w:pPr>
    </w:p>
    <w:p w:rsidR="002A12D9" w:rsidRPr="002A12D9" w:rsidRDefault="002A12D9" w:rsidP="002A12D9">
      <w:pPr>
        <w:pStyle w:val="NoSpacing"/>
        <w:rPr>
          <w:rFonts w:ascii="Times New Roman" w:hAnsi="Times New Roman" w:cs="Times New Roman"/>
        </w:rPr>
      </w:pPr>
      <w:r w:rsidRPr="002A12D9">
        <w:rPr>
          <w:rFonts w:ascii="Times New Roman" w:hAnsi="Times New Roman" w:cs="Times New Roman"/>
        </w:rPr>
        <w:t>Present: Adams</w:t>
      </w:r>
      <w:r>
        <w:rPr>
          <w:rFonts w:ascii="Times New Roman" w:hAnsi="Times New Roman" w:cs="Times New Roman"/>
        </w:rPr>
        <w:t xml:space="preserve"> D</w:t>
      </w:r>
      <w:r w:rsidRPr="002A12D9">
        <w:rPr>
          <w:rFonts w:ascii="Times New Roman" w:hAnsi="Times New Roman" w:cs="Times New Roman"/>
        </w:rPr>
        <w:t xml:space="preserve"> (CLASS Dean’s appointment),</w:t>
      </w:r>
      <w:r w:rsidR="00FF62FD">
        <w:rPr>
          <w:rFonts w:ascii="Times New Roman" w:hAnsi="Times New Roman" w:cs="Times New Roman"/>
        </w:rPr>
        <w:t xml:space="preserve"> Anton M (MATH),</w:t>
      </w:r>
      <w:r w:rsidRPr="002A12D9">
        <w:rPr>
          <w:rFonts w:ascii="Times New Roman" w:hAnsi="Times New Roman" w:cs="Times New Roman"/>
        </w:rPr>
        <w:t xml:space="preserve"> Bowman</w:t>
      </w:r>
      <w:r>
        <w:rPr>
          <w:rFonts w:ascii="Times New Roman" w:hAnsi="Times New Roman" w:cs="Times New Roman"/>
        </w:rPr>
        <w:t xml:space="preserve"> L</w:t>
      </w:r>
      <w:r w:rsidRPr="002A12D9">
        <w:rPr>
          <w:rFonts w:ascii="Times New Roman" w:hAnsi="Times New Roman" w:cs="Times New Roman"/>
        </w:rPr>
        <w:t xml:space="preserve"> (PSY), D’Addio </w:t>
      </w:r>
      <w:r>
        <w:rPr>
          <w:rFonts w:ascii="Times New Roman" w:hAnsi="Times New Roman" w:cs="Times New Roman"/>
        </w:rPr>
        <w:t xml:space="preserve">D </w:t>
      </w:r>
      <w:r w:rsidRPr="002A12D9">
        <w:rPr>
          <w:rFonts w:ascii="Times New Roman" w:hAnsi="Times New Roman" w:cs="Times New Roman"/>
        </w:rPr>
        <w:t>(MUSIC), Jackson</w:t>
      </w:r>
      <w:r>
        <w:rPr>
          <w:rFonts w:ascii="Times New Roman" w:hAnsi="Times New Roman" w:cs="Times New Roman"/>
        </w:rPr>
        <w:t xml:space="preserve"> M</w:t>
      </w:r>
      <w:r w:rsidRPr="002A12D9">
        <w:rPr>
          <w:rFonts w:ascii="Times New Roman" w:hAnsi="Times New Roman" w:cs="Times New Roman"/>
        </w:rPr>
        <w:t xml:space="preserve"> (BIO), Jones</w:t>
      </w:r>
      <w:r>
        <w:rPr>
          <w:rFonts w:ascii="Times New Roman" w:hAnsi="Times New Roman" w:cs="Times New Roman"/>
        </w:rPr>
        <w:t xml:space="preserve"> M</w:t>
      </w:r>
      <w:r w:rsidRPr="002A12D9">
        <w:rPr>
          <w:rFonts w:ascii="Times New Roman" w:hAnsi="Times New Roman" w:cs="Times New Roman"/>
        </w:rPr>
        <w:t xml:space="preserve"> (HIST), </w:t>
      </w:r>
      <w:r>
        <w:rPr>
          <w:rFonts w:ascii="Times New Roman" w:hAnsi="Times New Roman" w:cs="Times New Roman"/>
        </w:rPr>
        <w:t>Nu</w:t>
      </w:r>
      <w:r w:rsidRPr="002A12D9">
        <w:rPr>
          <w:rFonts w:ascii="Times New Roman" w:hAnsi="Times New Roman" w:cs="Times New Roman"/>
        </w:rPr>
        <w:t>nn</w:t>
      </w:r>
      <w:r>
        <w:rPr>
          <w:rFonts w:ascii="Times New Roman" w:hAnsi="Times New Roman" w:cs="Times New Roman"/>
        </w:rPr>
        <w:t xml:space="preserve"> MA</w:t>
      </w:r>
      <w:r w:rsidRPr="002A12D9">
        <w:rPr>
          <w:rFonts w:ascii="Times New Roman" w:hAnsi="Times New Roman" w:cs="Times New Roman"/>
        </w:rPr>
        <w:t xml:space="preserve"> (ENG), Petterson</w:t>
      </w:r>
      <w:r>
        <w:rPr>
          <w:rFonts w:ascii="Times New Roman" w:hAnsi="Times New Roman" w:cs="Times New Roman"/>
        </w:rPr>
        <w:t xml:space="preserve"> P</w:t>
      </w:r>
      <w:r w:rsidRPr="002A12D9">
        <w:rPr>
          <w:rFonts w:ascii="Times New Roman" w:hAnsi="Times New Roman" w:cs="Times New Roman"/>
        </w:rPr>
        <w:t xml:space="preserve"> (PS), Sommers</w:t>
      </w:r>
      <w:r>
        <w:rPr>
          <w:rFonts w:ascii="Times New Roman" w:hAnsi="Times New Roman" w:cs="Times New Roman"/>
        </w:rPr>
        <w:t xml:space="preserve"> B</w:t>
      </w:r>
      <w:r w:rsidRPr="002A12D9">
        <w:rPr>
          <w:rFonts w:ascii="Times New Roman" w:hAnsi="Times New Roman" w:cs="Times New Roman"/>
        </w:rPr>
        <w:t xml:space="preserve"> (International Studies), Tomoda</w:t>
      </w:r>
      <w:r>
        <w:rPr>
          <w:rFonts w:ascii="Times New Roman" w:hAnsi="Times New Roman" w:cs="Times New Roman"/>
        </w:rPr>
        <w:t xml:space="preserve"> S</w:t>
      </w:r>
      <w:r w:rsidRPr="002A12D9">
        <w:rPr>
          <w:rFonts w:ascii="Times New Roman" w:hAnsi="Times New Roman" w:cs="Times New Roman"/>
        </w:rPr>
        <w:t xml:space="preserve"> (ML)</w:t>
      </w:r>
    </w:p>
    <w:p w:rsidR="00DA0555" w:rsidRDefault="00DA0555" w:rsidP="002A12D9">
      <w:pPr>
        <w:pStyle w:val="NoSpacing"/>
        <w:rPr>
          <w:rFonts w:ascii="Times New Roman" w:hAnsi="Times New Roman" w:cs="Times New Roman"/>
        </w:rPr>
      </w:pPr>
    </w:p>
    <w:p w:rsidR="00283633" w:rsidRDefault="00283633" w:rsidP="00283633">
      <w:pPr>
        <w:pStyle w:val="NoSpacing"/>
        <w:numPr>
          <w:ilvl w:val="0"/>
          <w:numId w:val="1"/>
        </w:numPr>
        <w:rPr>
          <w:rFonts w:ascii="Times New Roman" w:hAnsi="Times New Roman" w:cs="Times New Roman"/>
        </w:rPr>
      </w:pPr>
      <w:r w:rsidRPr="00283633">
        <w:rPr>
          <w:rFonts w:ascii="Times New Roman" w:hAnsi="Times New Roman" w:cs="Times New Roman"/>
        </w:rPr>
        <w:t>Approve Minutes of previous meeting</w:t>
      </w:r>
      <w:r>
        <w:rPr>
          <w:rFonts w:ascii="Times New Roman" w:hAnsi="Times New Roman" w:cs="Times New Roman"/>
        </w:rPr>
        <w:t xml:space="preserve"> </w:t>
      </w:r>
    </w:p>
    <w:p w:rsidR="00283633" w:rsidRPr="00283633" w:rsidRDefault="00283633" w:rsidP="00283633">
      <w:pPr>
        <w:pStyle w:val="NoSpacing"/>
        <w:ind w:left="720"/>
        <w:rPr>
          <w:rFonts w:ascii="Times New Roman" w:hAnsi="Times New Roman" w:cs="Times New Roman"/>
        </w:rPr>
      </w:pPr>
      <w:r>
        <w:rPr>
          <w:rFonts w:ascii="Times New Roman" w:hAnsi="Times New Roman" w:cs="Times New Roman"/>
        </w:rPr>
        <w:t>Minutes had not been posted—will be approved at next meeting</w:t>
      </w:r>
    </w:p>
    <w:p w:rsidR="00283633" w:rsidRDefault="00283633" w:rsidP="00283633">
      <w:pPr>
        <w:pStyle w:val="NoSpacing"/>
        <w:numPr>
          <w:ilvl w:val="0"/>
          <w:numId w:val="1"/>
        </w:numPr>
        <w:rPr>
          <w:rFonts w:ascii="Times New Roman" w:hAnsi="Times New Roman" w:cs="Times New Roman"/>
        </w:rPr>
      </w:pPr>
      <w:r w:rsidRPr="00283633">
        <w:rPr>
          <w:rFonts w:ascii="Times New Roman" w:hAnsi="Times New Roman" w:cs="Times New Roman"/>
        </w:rPr>
        <w:t>Announcements</w:t>
      </w:r>
    </w:p>
    <w:p w:rsidR="00283633" w:rsidRPr="00283633" w:rsidRDefault="00283633" w:rsidP="00283633">
      <w:pPr>
        <w:pStyle w:val="NoSpacing"/>
        <w:ind w:left="720"/>
        <w:rPr>
          <w:rFonts w:ascii="Times New Roman" w:hAnsi="Times New Roman" w:cs="Times New Roman"/>
        </w:rPr>
      </w:pPr>
      <w:r>
        <w:rPr>
          <w:rFonts w:ascii="Times New Roman" w:hAnsi="Times New Roman" w:cs="Times New Roman"/>
        </w:rPr>
        <w:t>None</w:t>
      </w:r>
    </w:p>
    <w:p w:rsidR="00283633" w:rsidRPr="00283633" w:rsidRDefault="00283633" w:rsidP="00283633">
      <w:pPr>
        <w:pStyle w:val="NoSpacing"/>
        <w:numPr>
          <w:ilvl w:val="0"/>
          <w:numId w:val="1"/>
        </w:numPr>
        <w:rPr>
          <w:rFonts w:ascii="Times New Roman" w:hAnsi="Times New Roman" w:cs="Times New Roman"/>
        </w:rPr>
      </w:pPr>
      <w:r w:rsidRPr="00283633">
        <w:rPr>
          <w:rFonts w:ascii="Times New Roman" w:hAnsi="Times New Roman" w:cs="Times New Roman"/>
        </w:rPr>
        <w:t xml:space="preserve">Old Business </w:t>
      </w:r>
    </w:p>
    <w:p w:rsidR="00283633" w:rsidRDefault="00283633" w:rsidP="00283633">
      <w:pPr>
        <w:pStyle w:val="NoSpacing"/>
        <w:numPr>
          <w:ilvl w:val="1"/>
          <w:numId w:val="1"/>
        </w:numPr>
        <w:rPr>
          <w:rFonts w:ascii="Times New Roman" w:hAnsi="Times New Roman" w:cs="Times New Roman"/>
        </w:rPr>
      </w:pPr>
      <w:r w:rsidRPr="00283633">
        <w:rPr>
          <w:rFonts w:ascii="Times New Roman" w:hAnsi="Times New Roman" w:cs="Times New Roman"/>
        </w:rPr>
        <w:t>Alternate draft of learning outcomes</w:t>
      </w:r>
    </w:p>
    <w:p w:rsidR="00283633" w:rsidRDefault="00283633" w:rsidP="00283633">
      <w:pPr>
        <w:pStyle w:val="NoSpacing"/>
        <w:ind w:left="432"/>
        <w:rPr>
          <w:rFonts w:ascii="Times New Roman" w:hAnsi="Times New Roman" w:cs="Times New Roman"/>
        </w:rPr>
      </w:pPr>
      <w:r>
        <w:rPr>
          <w:rFonts w:ascii="Times New Roman" w:hAnsi="Times New Roman" w:cs="Times New Roman"/>
        </w:rPr>
        <w:t>Those present approved a revised version of the proposed Gen. Ed. outcomes:</w:t>
      </w:r>
    </w:p>
    <w:p w:rsidR="00283633" w:rsidRDefault="00283633" w:rsidP="00283633">
      <w:pPr>
        <w:pStyle w:val="NoSpacing"/>
        <w:ind w:left="432"/>
        <w:rPr>
          <w:rFonts w:ascii="Times New Roman" w:hAnsi="Times New Roman" w:cs="Times New Roman"/>
        </w:rPr>
      </w:pPr>
    </w:p>
    <w:p w:rsidR="00283633" w:rsidRDefault="00283633" w:rsidP="00283633">
      <w:pPr>
        <w:pStyle w:val="NormalWeb"/>
        <w:spacing w:before="0" w:beforeAutospacing="0" w:after="0" w:afterAutospacing="0"/>
      </w:pPr>
      <w:r>
        <w:rPr>
          <w:color w:val="000000"/>
          <w:sz w:val="22"/>
          <w:szCs w:val="22"/>
        </w:rPr>
        <w:t>Across an array of disciplines, students will:</w:t>
      </w:r>
    </w:p>
    <w:p w:rsidR="00283633" w:rsidRDefault="00283633" w:rsidP="00283633">
      <w:pPr>
        <w:pStyle w:val="NormalWeb"/>
        <w:numPr>
          <w:ilvl w:val="0"/>
          <w:numId w:val="4"/>
        </w:numPr>
        <w:spacing w:before="0" w:beforeAutospacing="0" w:after="0" w:afterAutospacing="0"/>
      </w:pPr>
      <w:r>
        <w:rPr>
          <w:color w:val="000000"/>
          <w:sz w:val="22"/>
          <w:szCs w:val="22"/>
        </w:rPr>
        <w:t>Write or speak effectively</w:t>
      </w:r>
    </w:p>
    <w:p w:rsidR="00283633" w:rsidRDefault="00283633" w:rsidP="00283633">
      <w:pPr>
        <w:pStyle w:val="NormalWeb"/>
        <w:numPr>
          <w:ilvl w:val="0"/>
          <w:numId w:val="4"/>
        </w:numPr>
        <w:spacing w:before="0" w:beforeAutospacing="0" w:after="0" w:afterAutospacing="0"/>
      </w:pPr>
      <w:r>
        <w:rPr>
          <w:color w:val="000000"/>
          <w:sz w:val="22"/>
          <w:szCs w:val="22"/>
        </w:rPr>
        <w:t>Reason effectively in the contexts of both scientific and quantitative analysis</w:t>
      </w:r>
    </w:p>
    <w:p w:rsidR="00283633" w:rsidRDefault="00283633" w:rsidP="00283633">
      <w:pPr>
        <w:pStyle w:val="NormalWeb"/>
        <w:numPr>
          <w:ilvl w:val="0"/>
          <w:numId w:val="4"/>
        </w:numPr>
        <w:spacing w:before="0" w:beforeAutospacing="0" w:after="0" w:afterAutospacing="0"/>
      </w:pPr>
      <w:r>
        <w:rPr>
          <w:color w:val="000000"/>
          <w:sz w:val="22"/>
          <w:szCs w:val="22"/>
        </w:rPr>
        <w:t>Respond effectively in performing tasks requiring critical thought</w:t>
      </w:r>
    </w:p>
    <w:p w:rsidR="00283633" w:rsidRDefault="00283633" w:rsidP="00283633">
      <w:pPr>
        <w:pStyle w:val="NormalWeb"/>
        <w:numPr>
          <w:ilvl w:val="0"/>
          <w:numId w:val="4"/>
        </w:numPr>
        <w:spacing w:before="0" w:beforeAutospacing="0" w:after="0" w:afterAutospacing="0"/>
      </w:pPr>
      <w:r>
        <w:rPr>
          <w:color w:val="000000"/>
          <w:sz w:val="22"/>
          <w:szCs w:val="22"/>
        </w:rPr>
        <w:t>Identify, evaluate, and employ appropriate information sources</w:t>
      </w:r>
    </w:p>
    <w:p w:rsidR="00283633" w:rsidRDefault="00283633" w:rsidP="00283633">
      <w:pPr>
        <w:pStyle w:val="NormalWeb"/>
        <w:numPr>
          <w:ilvl w:val="0"/>
          <w:numId w:val="4"/>
        </w:numPr>
        <w:spacing w:before="0" w:beforeAutospacing="0" w:after="0" w:afterAutospacing="0"/>
      </w:pPr>
      <w:r w:rsidRPr="00283633">
        <w:rPr>
          <w:color w:val="000000"/>
          <w:sz w:val="22"/>
          <w:szCs w:val="22"/>
        </w:rPr>
        <w:t>Bring appropriate and discipline-specific knowledge to bear in treating scientific, historical, and social</w:t>
      </w:r>
      <w:r w:rsidR="002F3E7E">
        <w:rPr>
          <w:color w:val="000000"/>
          <w:sz w:val="22"/>
          <w:szCs w:val="22"/>
        </w:rPr>
        <w:t xml:space="preserve"> </w:t>
      </w:r>
      <w:bookmarkStart w:id="0" w:name="_GoBack"/>
      <w:bookmarkEnd w:id="0"/>
      <w:r w:rsidRPr="00283633">
        <w:rPr>
          <w:color w:val="000000"/>
          <w:sz w:val="22"/>
          <w:szCs w:val="22"/>
        </w:rPr>
        <w:t>phenomena</w:t>
      </w:r>
    </w:p>
    <w:p w:rsidR="00283633" w:rsidRDefault="00283633" w:rsidP="00283633">
      <w:pPr>
        <w:pStyle w:val="NormalWeb"/>
        <w:numPr>
          <w:ilvl w:val="0"/>
          <w:numId w:val="4"/>
        </w:numPr>
        <w:spacing w:before="0" w:beforeAutospacing="0" w:after="0" w:afterAutospacing="0"/>
        <w:rPr>
          <w:color w:val="000000"/>
          <w:sz w:val="22"/>
          <w:szCs w:val="22"/>
        </w:rPr>
      </w:pPr>
      <w:r>
        <w:rPr>
          <w:color w:val="000000"/>
          <w:sz w:val="22"/>
          <w:szCs w:val="22"/>
        </w:rPr>
        <w:t>Write, speak, or perform, using appropriate vocabularies or techniques effectively, in treating or</w:t>
      </w:r>
    </w:p>
    <w:p w:rsidR="00283633" w:rsidRDefault="00283633" w:rsidP="00283633">
      <w:pPr>
        <w:pStyle w:val="NormalWeb"/>
        <w:spacing w:before="0" w:beforeAutospacing="0" w:after="0" w:afterAutospacing="0"/>
        <w:ind w:firstLine="720"/>
      </w:pPr>
      <w:r>
        <w:rPr>
          <w:color w:val="000000"/>
          <w:sz w:val="22"/>
          <w:szCs w:val="22"/>
        </w:rPr>
        <w:t xml:space="preserve">creating literature and the fine arts </w:t>
      </w:r>
    </w:p>
    <w:p w:rsidR="00283633" w:rsidRDefault="00283633" w:rsidP="00283633">
      <w:pPr>
        <w:pStyle w:val="NormalWeb"/>
        <w:numPr>
          <w:ilvl w:val="0"/>
          <w:numId w:val="4"/>
        </w:numPr>
        <w:spacing w:before="0" w:beforeAutospacing="0" w:after="0" w:afterAutospacing="0"/>
      </w:pPr>
      <w:r>
        <w:rPr>
          <w:color w:val="000000"/>
          <w:sz w:val="22"/>
          <w:szCs w:val="22"/>
        </w:rPr>
        <w:t>Write or speak effectively in treatments of ethical questions or issues</w:t>
      </w:r>
    </w:p>
    <w:p w:rsidR="00283633" w:rsidRDefault="00283633" w:rsidP="00283633">
      <w:pPr>
        <w:pStyle w:val="NoSpacing"/>
        <w:ind w:left="432"/>
        <w:rPr>
          <w:rFonts w:ascii="Times New Roman" w:hAnsi="Times New Roman" w:cs="Times New Roman"/>
        </w:rPr>
      </w:pPr>
    </w:p>
    <w:p w:rsidR="00283633" w:rsidRDefault="00283633" w:rsidP="00283633">
      <w:pPr>
        <w:pStyle w:val="NoSpacing"/>
        <w:rPr>
          <w:rFonts w:ascii="Times New Roman" w:hAnsi="Times New Roman" w:cs="Times New Roman"/>
        </w:rPr>
      </w:pPr>
      <w:r>
        <w:rPr>
          <w:rFonts w:ascii="Times New Roman" w:hAnsi="Times New Roman" w:cs="Times New Roman"/>
        </w:rPr>
        <w:t xml:space="preserve">These will be presented to the Curriculum Committee and if approved will be circulated to departments before adoption.  The suggestion was to replace the existing preamble to our current Gen. Ed. Objectives with our newly adopted Mission and Vision statements.  It was also suggested to strip the current Gen. Ed. Objectives of the sections describing “relevant outcomes” and substitute these newly approved Outcomes following the </w:t>
      </w:r>
      <w:r w:rsidR="002F3E7E">
        <w:rPr>
          <w:rFonts w:ascii="Times New Roman" w:hAnsi="Times New Roman" w:cs="Times New Roman"/>
        </w:rPr>
        <w:t>Objectives</w:t>
      </w:r>
      <w:r>
        <w:rPr>
          <w:rFonts w:ascii="Times New Roman" w:hAnsi="Times New Roman" w:cs="Times New Roman"/>
        </w:rPr>
        <w:t xml:space="preserve"> as the </w:t>
      </w:r>
      <w:r w:rsidR="002F3E7E">
        <w:rPr>
          <w:rFonts w:ascii="Times New Roman" w:hAnsi="Times New Roman" w:cs="Times New Roman"/>
        </w:rPr>
        <w:t>ones</w:t>
      </w:r>
      <w:r>
        <w:rPr>
          <w:rFonts w:ascii="Times New Roman" w:hAnsi="Times New Roman" w:cs="Times New Roman"/>
        </w:rPr>
        <w:t xml:space="preserve"> we will undertake to assess.</w:t>
      </w:r>
    </w:p>
    <w:p w:rsidR="00283633" w:rsidRPr="00283633" w:rsidRDefault="00283633" w:rsidP="00283633">
      <w:pPr>
        <w:pStyle w:val="NoSpacing"/>
        <w:rPr>
          <w:rFonts w:ascii="Times New Roman" w:hAnsi="Times New Roman" w:cs="Times New Roman"/>
        </w:rPr>
      </w:pPr>
    </w:p>
    <w:p w:rsidR="00283633" w:rsidRDefault="00283633" w:rsidP="00283633">
      <w:pPr>
        <w:pStyle w:val="NoSpacing"/>
        <w:numPr>
          <w:ilvl w:val="1"/>
          <w:numId w:val="1"/>
        </w:numPr>
        <w:rPr>
          <w:rFonts w:ascii="Times New Roman" w:hAnsi="Times New Roman" w:cs="Times New Roman"/>
        </w:rPr>
      </w:pPr>
      <w:r w:rsidRPr="00283633">
        <w:rPr>
          <w:rFonts w:ascii="Times New Roman" w:hAnsi="Times New Roman" w:cs="Times New Roman"/>
        </w:rPr>
        <w:t>Proposal from International Education Committee</w:t>
      </w:r>
    </w:p>
    <w:p w:rsidR="00283633" w:rsidRPr="00283633" w:rsidRDefault="00283633" w:rsidP="00283633">
      <w:pPr>
        <w:pStyle w:val="NoSpacing"/>
        <w:ind w:left="432"/>
        <w:rPr>
          <w:rFonts w:ascii="Times New Roman" w:hAnsi="Times New Roman" w:cs="Times New Roman"/>
        </w:rPr>
      </w:pPr>
      <w:r>
        <w:rPr>
          <w:rFonts w:ascii="Times New Roman" w:hAnsi="Times New Roman" w:cs="Times New Roman"/>
        </w:rPr>
        <w:t>Deferred to next month’s meeting.</w:t>
      </w:r>
    </w:p>
    <w:p w:rsidR="00283633" w:rsidRPr="00283633" w:rsidRDefault="00283633" w:rsidP="00283633">
      <w:pPr>
        <w:pStyle w:val="NoSpacing"/>
        <w:numPr>
          <w:ilvl w:val="0"/>
          <w:numId w:val="1"/>
        </w:numPr>
        <w:rPr>
          <w:rFonts w:ascii="Times New Roman" w:hAnsi="Times New Roman" w:cs="Times New Roman"/>
        </w:rPr>
      </w:pPr>
      <w:r w:rsidRPr="00283633">
        <w:rPr>
          <w:rFonts w:ascii="Times New Roman" w:hAnsi="Times New Roman" w:cs="Times New Roman"/>
        </w:rPr>
        <w:t>New Business</w:t>
      </w:r>
      <w:r>
        <w:rPr>
          <w:rFonts w:ascii="Times New Roman" w:hAnsi="Times New Roman" w:cs="Times New Roman"/>
        </w:rPr>
        <w:t xml:space="preserve"> </w:t>
      </w:r>
    </w:p>
    <w:p w:rsidR="00283633" w:rsidRPr="00283633" w:rsidRDefault="00283633" w:rsidP="00283633">
      <w:pPr>
        <w:pStyle w:val="NoSpacing"/>
        <w:numPr>
          <w:ilvl w:val="1"/>
          <w:numId w:val="1"/>
        </w:numPr>
        <w:rPr>
          <w:rFonts w:ascii="Times New Roman" w:hAnsi="Times New Roman" w:cs="Times New Roman"/>
        </w:rPr>
      </w:pPr>
      <w:r w:rsidRPr="00283633">
        <w:rPr>
          <w:rFonts w:ascii="Times New Roman" w:hAnsi="Times New Roman" w:cs="Times New Roman"/>
        </w:rPr>
        <w:t>Courses</w:t>
      </w:r>
    </w:p>
    <w:tbl>
      <w:tblPr>
        <w:tblW w:w="9480" w:type="dxa"/>
        <w:tblLook w:val="04A0" w:firstRow="1" w:lastRow="0" w:firstColumn="1" w:lastColumn="0" w:noHBand="0" w:noVBand="1"/>
      </w:tblPr>
      <w:tblGrid>
        <w:gridCol w:w="1540"/>
        <w:gridCol w:w="4480"/>
        <w:gridCol w:w="3460"/>
      </w:tblGrid>
      <w:tr w:rsidR="00283633" w:rsidRPr="00283633" w:rsidTr="00272AD2">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Type</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Name</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Action</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5" w:tgtFrame="_blank" w:history="1">
              <w:r w:rsidRPr="00283633">
                <w:rPr>
                  <w:rStyle w:val="Hyperlink"/>
                  <w:rFonts w:ascii="Times New Roman" w:hAnsi="Times New Roman" w:cs="Times New Roman"/>
                </w:rPr>
                <w:t>GEOG 438 Australia New Zealand and Oceania</w:t>
              </w:r>
            </w:hyperlink>
          </w:p>
        </w:tc>
        <w:tc>
          <w:tcPr>
            <w:tcW w:w="346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Pr>
                <w:rFonts w:ascii="Times New Roman" w:hAnsi="Times New Roman" w:cs="Times New Roman"/>
              </w:rPr>
              <w:t>APPROVED “I” designation</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EAEB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u w:val="single"/>
              </w:rPr>
            </w:pPr>
            <w:hyperlink r:id="rId6" w:tgtFrame="_blank" w:history="1">
              <w:r w:rsidRPr="00283633">
                <w:rPr>
                  <w:rStyle w:val="Hyperlink"/>
                  <w:rFonts w:ascii="Times New Roman" w:hAnsi="Times New Roman" w:cs="Times New Roman"/>
                </w:rPr>
                <w:t>GEOG 456 - Tourism Management</w:t>
              </w:r>
            </w:hyperlink>
          </w:p>
        </w:tc>
        <w:tc>
          <w:tcPr>
            <w:tcW w:w="346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Pr>
                <w:rFonts w:ascii="Times New Roman" w:hAnsi="Times New Roman" w:cs="Times New Roman"/>
              </w:rPr>
              <w:t>Request for “I” withdrawn</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7" w:tgtFrame="_blank" w:history="1">
              <w:r w:rsidRPr="00283633">
                <w:rPr>
                  <w:rStyle w:val="Hyperlink"/>
                  <w:rFonts w:ascii="Times New Roman" w:hAnsi="Times New Roman" w:cs="Times New Roman"/>
                </w:rPr>
                <w:t>GEOG 458 - Cultural Heritage Tourism</w:t>
              </w:r>
            </w:hyperlink>
          </w:p>
        </w:tc>
        <w:tc>
          <w:tcPr>
            <w:tcW w:w="346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Pr>
                <w:rFonts w:ascii="Times New Roman" w:hAnsi="Times New Roman" w:cs="Times New Roman"/>
              </w:rPr>
              <w:t>Request for “I” withdrawn</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Change Course</w:t>
            </w:r>
          </w:p>
        </w:tc>
        <w:tc>
          <w:tcPr>
            <w:tcW w:w="448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8" w:tgtFrame="_blank" w:history="1">
              <w:r w:rsidRPr="00283633">
                <w:rPr>
                  <w:rStyle w:val="Hyperlink"/>
                  <w:rFonts w:ascii="Times New Roman" w:hAnsi="Times New Roman" w:cs="Times New Roman"/>
                </w:rPr>
                <w:t>HIST 100 - Search in History</w:t>
              </w:r>
            </w:hyperlink>
          </w:p>
        </w:tc>
        <w:tc>
          <w:tcPr>
            <w:tcW w:w="3460" w:type="dxa"/>
            <w:tcBorders>
              <w:top w:val="nil"/>
              <w:left w:val="nil"/>
              <w:bottom w:val="single" w:sz="4" w:space="0" w:color="auto"/>
              <w:right w:val="single" w:sz="4" w:space="0" w:color="auto"/>
            </w:tcBorders>
            <w:shd w:val="clear" w:color="000000" w:fill="E2E4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students’ taking the course in diff. sections for up to 6 credits</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EAEB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u w:val="single"/>
              </w:rPr>
            </w:pPr>
            <w:hyperlink r:id="rId9" w:tgtFrame="_blank" w:history="1">
              <w:r w:rsidRPr="00283633">
                <w:rPr>
                  <w:rStyle w:val="Hyperlink"/>
                  <w:rFonts w:ascii="Times New Roman" w:hAnsi="Times New Roman" w:cs="Times New Roman"/>
                </w:rPr>
                <w:t>HIST 338 - Medieval Outlaws and Outcasts</w:t>
              </w:r>
            </w:hyperlink>
          </w:p>
        </w:tc>
        <w:tc>
          <w:tcPr>
            <w:tcW w:w="3460" w:type="dxa"/>
            <w:tcBorders>
              <w:top w:val="nil"/>
              <w:left w:val="nil"/>
              <w:bottom w:val="single" w:sz="4" w:space="0" w:color="auto"/>
              <w:right w:val="single" w:sz="4" w:space="0" w:color="auto"/>
            </w:tcBorders>
            <w:shd w:val="clear" w:color="000000" w:fill="FFFF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“I” designation</w:t>
            </w:r>
          </w:p>
        </w:tc>
      </w:tr>
      <w:tr w:rsidR="00283633" w:rsidRPr="00283633" w:rsidTr="00272AD2">
        <w:trPr>
          <w:trHeight w:val="600"/>
        </w:trPr>
        <w:tc>
          <w:tcPr>
            <w:tcW w:w="1540" w:type="dxa"/>
            <w:tcBorders>
              <w:top w:val="nil"/>
              <w:left w:val="single" w:sz="4" w:space="0" w:color="auto"/>
              <w:bottom w:val="single" w:sz="4" w:space="0" w:color="auto"/>
              <w:right w:val="single" w:sz="4" w:space="0" w:color="auto"/>
            </w:tcBorders>
            <w:shd w:val="clear" w:color="000000" w:fill="EAEB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Change Course</w:t>
            </w:r>
          </w:p>
        </w:tc>
        <w:tc>
          <w:tcPr>
            <w:tcW w:w="448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u w:val="single"/>
              </w:rPr>
            </w:pPr>
            <w:hyperlink r:id="rId10" w:tgtFrame="_blank" w:history="1">
              <w:r w:rsidRPr="00283633">
                <w:rPr>
                  <w:rStyle w:val="Hyperlink"/>
                  <w:rFonts w:ascii="Times New Roman" w:hAnsi="Times New Roman" w:cs="Times New Roman"/>
                </w:rPr>
                <w:t>MATH 106 - Mathematical Topics for Liberal Arts</w:t>
              </w:r>
            </w:hyperlink>
          </w:p>
        </w:tc>
        <w:tc>
          <w:tcPr>
            <w:tcW w:w="3460" w:type="dxa"/>
            <w:tcBorders>
              <w:top w:val="nil"/>
              <w:left w:val="nil"/>
              <w:bottom w:val="single" w:sz="4" w:space="0" w:color="auto"/>
              <w:right w:val="single" w:sz="4" w:space="0" w:color="auto"/>
            </w:tcBorders>
            <w:shd w:val="clear" w:color="000000" w:fill="FFFF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prerequisite language</w:t>
            </w:r>
          </w:p>
        </w:tc>
      </w:tr>
      <w:tr w:rsidR="00283633" w:rsidRPr="00283633" w:rsidTr="00272AD2">
        <w:trPr>
          <w:trHeight w:val="600"/>
        </w:trPr>
        <w:tc>
          <w:tcPr>
            <w:tcW w:w="1540" w:type="dxa"/>
            <w:tcBorders>
              <w:top w:val="nil"/>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Change Course</w:t>
            </w:r>
          </w:p>
        </w:tc>
        <w:tc>
          <w:tcPr>
            <w:tcW w:w="448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11" w:tgtFrame="_blank" w:history="1">
              <w:r w:rsidRPr="00283633">
                <w:rPr>
                  <w:rStyle w:val="Hyperlink"/>
                  <w:rFonts w:ascii="Times New Roman" w:hAnsi="Times New Roman" w:cs="Times New Roman"/>
                </w:rPr>
                <w:t>MATH 124 - Applied Calculus with Trigonometry</w:t>
              </w:r>
            </w:hyperlink>
          </w:p>
        </w:tc>
        <w:tc>
          <w:tcPr>
            <w:tcW w:w="3460" w:type="dxa"/>
            <w:tcBorders>
              <w:top w:val="nil"/>
              <w:left w:val="nil"/>
              <w:bottom w:val="single" w:sz="4" w:space="0" w:color="auto"/>
              <w:right w:val="single" w:sz="4" w:space="0" w:color="auto"/>
            </w:tcBorders>
            <w:shd w:val="clear" w:color="000000" w:fill="E2E4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prerequisite language</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EAEB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lastRenderedPageBreak/>
              <w:t>Change Course</w:t>
            </w:r>
          </w:p>
        </w:tc>
        <w:tc>
          <w:tcPr>
            <w:tcW w:w="448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u w:val="single"/>
              </w:rPr>
            </w:pPr>
            <w:hyperlink r:id="rId12" w:tgtFrame="_blank" w:history="1">
              <w:r w:rsidRPr="00283633">
                <w:rPr>
                  <w:rStyle w:val="Hyperlink"/>
                  <w:rFonts w:ascii="Times New Roman" w:hAnsi="Times New Roman" w:cs="Times New Roman"/>
                </w:rPr>
                <w:t>PHIL 240 - Ethical Problems in Business</w:t>
              </w:r>
            </w:hyperlink>
          </w:p>
        </w:tc>
        <w:tc>
          <w:tcPr>
            <w:tcW w:w="3460" w:type="dxa"/>
            <w:tcBorders>
              <w:top w:val="nil"/>
              <w:left w:val="nil"/>
              <w:bottom w:val="single" w:sz="4" w:space="0" w:color="auto"/>
              <w:right w:val="single" w:sz="4" w:space="0" w:color="auto"/>
            </w:tcBorders>
            <w:shd w:val="clear" w:color="000000" w:fill="FFFF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Study Area 1</w:t>
            </w:r>
          </w:p>
        </w:tc>
      </w:tr>
      <w:tr w:rsidR="00283633" w:rsidRPr="00283633" w:rsidTr="00272AD2">
        <w:trPr>
          <w:trHeight w:val="600"/>
        </w:trPr>
        <w:tc>
          <w:tcPr>
            <w:tcW w:w="1540" w:type="dxa"/>
            <w:tcBorders>
              <w:top w:val="nil"/>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13" w:tgtFrame="_blank" w:history="1">
              <w:r w:rsidRPr="00283633">
                <w:rPr>
                  <w:rStyle w:val="Hyperlink"/>
                  <w:rFonts w:ascii="Times New Roman" w:hAnsi="Times New Roman" w:cs="Times New Roman"/>
                </w:rPr>
                <w:t>SOC 462 Worlds in Motion Gender Race and Global Migration</w:t>
              </w:r>
            </w:hyperlink>
          </w:p>
        </w:tc>
        <w:tc>
          <w:tcPr>
            <w:tcW w:w="3460" w:type="dxa"/>
            <w:tcBorders>
              <w:top w:val="nil"/>
              <w:left w:val="nil"/>
              <w:bottom w:val="single" w:sz="4" w:space="0" w:color="auto"/>
              <w:right w:val="single" w:sz="4" w:space="0" w:color="auto"/>
            </w:tcBorders>
            <w:shd w:val="clear" w:color="000000" w:fill="E2E4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“I” designation</w:t>
            </w:r>
          </w:p>
        </w:tc>
      </w:tr>
      <w:tr w:rsidR="00283633" w:rsidRPr="00283633" w:rsidTr="00272AD2">
        <w:trPr>
          <w:trHeight w:val="300"/>
        </w:trPr>
        <w:tc>
          <w:tcPr>
            <w:tcW w:w="1540" w:type="dxa"/>
            <w:tcBorders>
              <w:top w:val="nil"/>
              <w:left w:val="single" w:sz="4" w:space="0" w:color="auto"/>
              <w:bottom w:val="single" w:sz="4" w:space="0" w:color="auto"/>
              <w:right w:val="single" w:sz="4" w:space="0" w:color="auto"/>
            </w:tcBorders>
            <w:shd w:val="clear" w:color="000000" w:fill="EAEB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nil"/>
              <w:left w:val="nil"/>
              <w:bottom w:val="single" w:sz="4" w:space="0" w:color="auto"/>
              <w:right w:val="single" w:sz="4" w:space="0" w:color="auto"/>
            </w:tcBorders>
            <w:shd w:val="clear" w:color="000000" w:fill="FFFFFF"/>
            <w:hideMark/>
          </w:tcPr>
          <w:p w:rsidR="00283633" w:rsidRPr="00283633" w:rsidRDefault="00283633" w:rsidP="00283633">
            <w:pPr>
              <w:pStyle w:val="NoSpacing"/>
              <w:rPr>
                <w:rFonts w:ascii="Times New Roman" w:hAnsi="Times New Roman" w:cs="Times New Roman"/>
                <w:u w:val="single"/>
              </w:rPr>
            </w:pPr>
            <w:hyperlink r:id="rId14" w:tgtFrame="_blank" w:history="1">
              <w:r w:rsidRPr="00283633">
                <w:rPr>
                  <w:rStyle w:val="Hyperlink"/>
                  <w:rFonts w:ascii="Times New Roman" w:hAnsi="Times New Roman" w:cs="Times New Roman"/>
                </w:rPr>
                <w:t>THS 457 Food Beverage Management</w:t>
              </w:r>
            </w:hyperlink>
          </w:p>
        </w:tc>
        <w:tc>
          <w:tcPr>
            <w:tcW w:w="3460" w:type="dxa"/>
            <w:tcBorders>
              <w:top w:val="nil"/>
              <w:left w:val="nil"/>
              <w:bottom w:val="single" w:sz="4" w:space="0" w:color="auto"/>
              <w:right w:val="single" w:sz="4" w:space="0" w:color="auto"/>
            </w:tcBorders>
            <w:shd w:val="clear" w:color="000000" w:fill="FFFF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Request for “I” withdrawn</w:t>
            </w:r>
          </w:p>
        </w:tc>
      </w:tr>
      <w:tr w:rsidR="00283633" w:rsidRPr="00283633" w:rsidTr="00272AD2">
        <w:trPr>
          <w:trHeight w:val="600"/>
        </w:trPr>
        <w:tc>
          <w:tcPr>
            <w:tcW w:w="1540" w:type="dxa"/>
            <w:tcBorders>
              <w:top w:val="single" w:sz="4" w:space="0" w:color="auto"/>
              <w:left w:val="single" w:sz="4" w:space="0" w:color="auto"/>
              <w:bottom w:val="single" w:sz="4" w:space="0" w:color="auto"/>
              <w:right w:val="single" w:sz="4" w:space="0" w:color="auto"/>
            </w:tcBorders>
            <w:shd w:val="clear" w:color="000000" w:fill="D3D6FF"/>
            <w:hideMark/>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New Course</w:t>
            </w:r>
          </w:p>
        </w:tc>
        <w:tc>
          <w:tcPr>
            <w:tcW w:w="4480" w:type="dxa"/>
            <w:tcBorders>
              <w:top w:val="single" w:sz="4" w:space="0" w:color="auto"/>
              <w:left w:val="nil"/>
              <w:bottom w:val="single" w:sz="4" w:space="0" w:color="auto"/>
              <w:right w:val="single" w:sz="4" w:space="0" w:color="auto"/>
            </w:tcBorders>
            <w:shd w:val="clear" w:color="000000" w:fill="E2E4FF"/>
            <w:hideMark/>
          </w:tcPr>
          <w:p w:rsidR="00283633" w:rsidRPr="00283633" w:rsidRDefault="00283633" w:rsidP="00283633">
            <w:pPr>
              <w:pStyle w:val="NoSpacing"/>
              <w:rPr>
                <w:rFonts w:ascii="Times New Roman" w:hAnsi="Times New Roman" w:cs="Times New Roman"/>
                <w:u w:val="single"/>
              </w:rPr>
            </w:pPr>
            <w:hyperlink r:id="rId15" w:tgtFrame="_blank" w:history="1">
              <w:r w:rsidRPr="00283633">
                <w:rPr>
                  <w:rStyle w:val="Hyperlink"/>
                  <w:rFonts w:ascii="Times New Roman" w:hAnsi="Times New Roman" w:cs="Times New Roman"/>
                </w:rPr>
                <w:t>WGSS 462 Worlds in Motion Gender Race and Global Migration</w:t>
              </w:r>
            </w:hyperlink>
          </w:p>
        </w:tc>
        <w:tc>
          <w:tcPr>
            <w:tcW w:w="3460" w:type="dxa"/>
            <w:tcBorders>
              <w:top w:val="single" w:sz="4" w:space="0" w:color="auto"/>
              <w:left w:val="nil"/>
              <w:bottom w:val="single" w:sz="4" w:space="0" w:color="auto"/>
              <w:right w:val="single" w:sz="4" w:space="0" w:color="auto"/>
            </w:tcBorders>
            <w:shd w:val="clear" w:color="000000" w:fill="E2E4FF"/>
            <w:hideMark/>
          </w:tcPr>
          <w:p w:rsidR="00283633" w:rsidRPr="002F3E7E" w:rsidRDefault="00283633" w:rsidP="00283633">
            <w:pPr>
              <w:pStyle w:val="NoSpacing"/>
              <w:rPr>
                <w:rFonts w:ascii="Times New Roman" w:hAnsi="Times New Roman" w:cs="Times New Roman"/>
              </w:rPr>
            </w:pPr>
            <w:r w:rsidRPr="00283633">
              <w:rPr>
                <w:rFonts w:ascii="Times New Roman" w:hAnsi="Times New Roman" w:cs="Times New Roman"/>
                <w:u w:val="single"/>
              </w:rPr>
              <w:t> </w:t>
            </w:r>
            <w:r w:rsidR="002F3E7E">
              <w:rPr>
                <w:rFonts w:ascii="Times New Roman" w:hAnsi="Times New Roman" w:cs="Times New Roman"/>
              </w:rPr>
              <w:t>APPROVED “I” designation</w:t>
            </w:r>
          </w:p>
        </w:tc>
      </w:tr>
      <w:tr w:rsidR="00283633" w:rsidRPr="00283633" w:rsidTr="00272AD2">
        <w:trPr>
          <w:trHeight w:val="600"/>
        </w:trPr>
        <w:tc>
          <w:tcPr>
            <w:tcW w:w="1540" w:type="dxa"/>
            <w:tcBorders>
              <w:top w:val="single" w:sz="4" w:space="0" w:color="auto"/>
              <w:left w:val="single" w:sz="4" w:space="0" w:color="auto"/>
              <w:bottom w:val="single" w:sz="4" w:space="0" w:color="auto"/>
              <w:right w:val="single" w:sz="4" w:space="0" w:color="auto"/>
            </w:tcBorders>
            <w:shd w:val="clear" w:color="000000" w:fill="D3D6FF"/>
          </w:tcPr>
          <w:p w:rsidR="00283633" w:rsidRPr="00283633" w:rsidRDefault="00283633" w:rsidP="00283633">
            <w:pPr>
              <w:pStyle w:val="NoSpacing"/>
              <w:rPr>
                <w:rFonts w:ascii="Times New Roman" w:hAnsi="Times New Roman" w:cs="Times New Roman"/>
              </w:rPr>
            </w:pPr>
          </w:p>
        </w:tc>
        <w:tc>
          <w:tcPr>
            <w:tcW w:w="4480" w:type="dxa"/>
            <w:tcBorders>
              <w:top w:val="single" w:sz="4" w:space="0" w:color="auto"/>
              <w:left w:val="nil"/>
              <w:bottom w:val="single" w:sz="4" w:space="0" w:color="auto"/>
              <w:right w:val="single" w:sz="4" w:space="0" w:color="auto"/>
            </w:tcBorders>
            <w:shd w:val="clear" w:color="000000" w:fill="E2E4FF"/>
          </w:tcPr>
          <w:p w:rsidR="00283633" w:rsidRPr="00283633" w:rsidRDefault="00283633" w:rsidP="00283633">
            <w:pPr>
              <w:pStyle w:val="NoSpacing"/>
              <w:rPr>
                <w:rFonts w:ascii="Times New Roman" w:hAnsi="Times New Roman" w:cs="Times New Roman"/>
              </w:rPr>
            </w:pPr>
            <w:hyperlink r:id="rId16" w:history="1">
              <w:r w:rsidRPr="00283633">
                <w:rPr>
                  <w:rStyle w:val="Hyperlink"/>
                  <w:rFonts w:ascii="Times New Roman" w:hAnsi="Times New Roman" w:cs="Times New Roman"/>
                </w:rPr>
                <w:t>English Pathway</w:t>
              </w:r>
            </w:hyperlink>
          </w:p>
        </w:tc>
        <w:tc>
          <w:tcPr>
            <w:tcW w:w="3460" w:type="dxa"/>
            <w:tcBorders>
              <w:top w:val="single" w:sz="4" w:space="0" w:color="auto"/>
              <w:left w:val="nil"/>
              <w:bottom w:val="single" w:sz="4" w:space="0" w:color="auto"/>
              <w:right w:val="single" w:sz="4" w:space="0" w:color="auto"/>
            </w:tcBorders>
            <w:shd w:val="clear" w:color="000000" w:fill="E2E4FF"/>
          </w:tcPr>
          <w:p w:rsidR="00283633" w:rsidRPr="002F3E7E" w:rsidRDefault="002F3E7E" w:rsidP="00283633">
            <w:pPr>
              <w:pStyle w:val="NoSpacing"/>
              <w:rPr>
                <w:rFonts w:ascii="Times New Roman" w:hAnsi="Times New Roman" w:cs="Times New Roman"/>
              </w:rPr>
            </w:pPr>
            <w:r>
              <w:rPr>
                <w:rFonts w:ascii="Times New Roman" w:hAnsi="Times New Roman" w:cs="Times New Roman"/>
              </w:rPr>
              <w:t>APPROVED</w:t>
            </w:r>
          </w:p>
        </w:tc>
      </w:tr>
      <w:tr w:rsidR="00283633" w:rsidRPr="00283633" w:rsidTr="00272AD2">
        <w:trPr>
          <w:trHeight w:val="600"/>
        </w:trPr>
        <w:tc>
          <w:tcPr>
            <w:tcW w:w="1540" w:type="dxa"/>
            <w:tcBorders>
              <w:top w:val="single" w:sz="4" w:space="0" w:color="auto"/>
              <w:left w:val="single" w:sz="4" w:space="0" w:color="auto"/>
              <w:bottom w:val="single" w:sz="4" w:space="0" w:color="auto"/>
              <w:right w:val="single" w:sz="4" w:space="0" w:color="auto"/>
            </w:tcBorders>
            <w:shd w:val="clear" w:color="000000" w:fill="D3D6FF"/>
          </w:tcPr>
          <w:p w:rsidR="00283633" w:rsidRPr="00283633" w:rsidRDefault="00283633" w:rsidP="00283633">
            <w:pPr>
              <w:pStyle w:val="NoSpacing"/>
              <w:rPr>
                <w:rFonts w:ascii="Times New Roman" w:hAnsi="Times New Roman" w:cs="Times New Roman"/>
              </w:rPr>
            </w:pPr>
          </w:p>
        </w:tc>
        <w:tc>
          <w:tcPr>
            <w:tcW w:w="4480" w:type="dxa"/>
            <w:tcBorders>
              <w:top w:val="single" w:sz="4" w:space="0" w:color="auto"/>
              <w:left w:val="nil"/>
              <w:bottom w:val="single" w:sz="4" w:space="0" w:color="auto"/>
              <w:right w:val="single" w:sz="4" w:space="0" w:color="auto"/>
            </w:tcBorders>
            <w:shd w:val="clear" w:color="000000" w:fill="E2E4FF"/>
          </w:tcPr>
          <w:p w:rsidR="00283633" w:rsidRPr="00283633" w:rsidRDefault="00283633" w:rsidP="00283633">
            <w:pPr>
              <w:pStyle w:val="NoSpacing"/>
              <w:rPr>
                <w:rFonts w:ascii="Times New Roman" w:hAnsi="Times New Roman" w:cs="Times New Roman"/>
              </w:rPr>
            </w:pPr>
            <w:hyperlink r:id="rId17" w:history="1">
              <w:r w:rsidRPr="00283633">
                <w:rPr>
                  <w:rStyle w:val="Hyperlink"/>
                  <w:rFonts w:ascii="Times New Roman" w:hAnsi="Times New Roman" w:cs="Times New Roman"/>
                </w:rPr>
                <w:t>Political Science Pathway</w:t>
              </w:r>
            </w:hyperlink>
          </w:p>
        </w:tc>
        <w:tc>
          <w:tcPr>
            <w:tcW w:w="3460" w:type="dxa"/>
            <w:tcBorders>
              <w:top w:val="single" w:sz="4" w:space="0" w:color="auto"/>
              <w:left w:val="nil"/>
              <w:bottom w:val="single" w:sz="4" w:space="0" w:color="auto"/>
              <w:right w:val="single" w:sz="4" w:space="0" w:color="auto"/>
            </w:tcBorders>
            <w:shd w:val="clear" w:color="000000" w:fill="E2E4FF"/>
          </w:tcPr>
          <w:p w:rsidR="00283633" w:rsidRPr="002F3E7E" w:rsidRDefault="002F3E7E" w:rsidP="00283633">
            <w:pPr>
              <w:pStyle w:val="NoSpacing"/>
              <w:rPr>
                <w:rFonts w:ascii="Times New Roman" w:hAnsi="Times New Roman" w:cs="Times New Roman"/>
              </w:rPr>
            </w:pPr>
            <w:r>
              <w:rPr>
                <w:rFonts w:ascii="Times New Roman" w:hAnsi="Times New Roman" w:cs="Times New Roman"/>
              </w:rPr>
              <w:t>APPROVED</w:t>
            </w:r>
          </w:p>
        </w:tc>
      </w:tr>
    </w:tbl>
    <w:p w:rsidR="00283633" w:rsidRPr="00283633" w:rsidRDefault="00283633" w:rsidP="00283633">
      <w:pPr>
        <w:pStyle w:val="NoSpacing"/>
        <w:rPr>
          <w:rFonts w:ascii="Times New Roman" w:hAnsi="Times New Roman" w:cs="Times New Roman"/>
        </w:rPr>
      </w:pPr>
    </w:p>
    <w:tbl>
      <w:tblPr>
        <w:tblStyle w:val="TableGrid"/>
        <w:tblW w:w="8653" w:type="dxa"/>
        <w:tblInd w:w="792" w:type="dxa"/>
        <w:tblLook w:val="04A0" w:firstRow="1" w:lastRow="0" w:firstColumn="1" w:lastColumn="0" w:noHBand="0" w:noVBand="1"/>
      </w:tblPr>
      <w:tblGrid>
        <w:gridCol w:w="823"/>
        <w:gridCol w:w="4410"/>
        <w:gridCol w:w="3420"/>
      </w:tblGrid>
      <w:tr w:rsidR="00283633" w:rsidRPr="00283633" w:rsidTr="00272AD2">
        <w:tc>
          <w:tcPr>
            <w:tcW w:w="823" w:type="dxa"/>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item</w:t>
            </w:r>
          </w:p>
        </w:tc>
        <w:tc>
          <w:tcPr>
            <w:tcW w:w="4410" w:type="dxa"/>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item</w:t>
            </w:r>
          </w:p>
        </w:tc>
        <w:tc>
          <w:tcPr>
            <w:tcW w:w="3420" w:type="dxa"/>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action</w:t>
            </w:r>
          </w:p>
        </w:tc>
      </w:tr>
      <w:tr w:rsidR="00283633" w:rsidRPr="00283633" w:rsidTr="00272AD2">
        <w:tc>
          <w:tcPr>
            <w:tcW w:w="823" w:type="dxa"/>
          </w:tcPr>
          <w:p w:rsidR="00283633" w:rsidRPr="00283633" w:rsidRDefault="00283633" w:rsidP="00283633">
            <w:pPr>
              <w:pStyle w:val="NoSpacing"/>
              <w:numPr>
                <w:ilvl w:val="1"/>
                <w:numId w:val="1"/>
              </w:numPr>
              <w:rPr>
                <w:rFonts w:ascii="Times New Roman" w:hAnsi="Times New Roman" w:cs="Times New Roman"/>
              </w:rPr>
            </w:pPr>
          </w:p>
        </w:tc>
        <w:tc>
          <w:tcPr>
            <w:tcW w:w="4410" w:type="dxa"/>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Skill Area III Policy</w:t>
            </w: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 xml:space="preserve">The catalogue says that one way the Skill Area III requirement can be satisfied is with “Three sequential years of one foreign language at the high-school level.”  </w:t>
            </w:r>
          </w:p>
          <w:p w:rsidR="00283633" w:rsidRPr="00283633" w:rsidRDefault="00283633" w:rsidP="00283633">
            <w:pPr>
              <w:pStyle w:val="NoSpacing"/>
              <w:rPr>
                <w:rFonts w:ascii="Times New Roman" w:hAnsi="Times New Roman" w:cs="Times New Roman"/>
              </w:rPr>
            </w:pP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 xml:space="preserve">But this is not, according to Admissions, our practice, and not, according to Modern Language, our intent.  Both prefer "completion of a level-three high school language" as the criterion.  </w:t>
            </w:r>
          </w:p>
          <w:p w:rsidR="00283633" w:rsidRPr="00283633" w:rsidRDefault="00283633" w:rsidP="00283633">
            <w:pPr>
              <w:pStyle w:val="NoSpacing"/>
              <w:rPr>
                <w:rFonts w:ascii="Times New Roman" w:hAnsi="Times New Roman" w:cs="Times New Roman"/>
              </w:rPr>
            </w:pP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We need to either bring the catalog into alignment with actual practice, or retain the current catalog language and direct admissions to apply the rule as written in the catalog.</w:t>
            </w: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 xml:space="preserve"> </w:t>
            </w:r>
            <w:hyperlink r:id="rId18" w:history="1">
              <w:r w:rsidRPr="00283633">
                <w:rPr>
                  <w:rStyle w:val="Hyperlink"/>
                  <w:rFonts w:ascii="Times New Roman" w:hAnsi="Times New Roman" w:cs="Times New Roman"/>
                </w:rPr>
                <w:t>Click here for link to catalog Skill III</w:t>
              </w:r>
            </w:hyperlink>
            <w:r w:rsidRPr="00283633">
              <w:rPr>
                <w:rFonts w:ascii="Times New Roman" w:hAnsi="Times New Roman" w:cs="Times New Roman"/>
              </w:rPr>
              <w:t xml:space="preserve"> </w:t>
            </w:r>
          </w:p>
          <w:p w:rsidR="00283633" w:rsidRPr="00283633" w:rsidRDefault="00283633" w:rsidP="00283633">
            <w:pPr>
              <w:pStyle w:val="NoSpacing"/>
              <w:rPr>
                <w:rFonts w:ascii="Times New Roman" w:hAnsi="Times New Roman" w:cs="Times New Roman"/>
              </w:rPr>
            </w:pP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b/>
              </w:rPr>
              <w:t>Proposal:</w:t>
            </w:r>
            <w:r w:rsidRPr="00283633">
              <w:rPr>
                <w:rFonts w:ascii="Times New Roman" w:hAnsi="Times New Roman" w:cs="Times New Roman"/>
              </w:rPr>
              <w:t xml:space="preserve"> change wording in line 1. From “Three sequential years of one foreign language at the high-school level” to “Completion of a level-three high school language.”</w:t>
            </w:r>
          </w:p>
        </w:tc>
        <w:tc>
          <w:tcPr>
            <w:tcW w:w="3420" w:type="dxa"/>
          </w:tcPr>
          <w:p w:rsidR="00283633" w:rsidRPr="002F3E7E" w:rsidRDefault="002F3E7E" w:rsidP="00283633">
            <w:pPr>
              <w:pStyle w:val="NoSpacing"/>
              <w:rPr>
                <w:rFonts w:ascii="Times New Roman" w:hAnsi="Times New Roman" w:cs="Times New Roman"/>
              </w:rPr>
            </w:pPr>
            <w:r>
              <w:rPr>
                <w:rFonts w:ascii="Times New Roman" w:hAnsi="Times New Roman" w:cs="Times New Roman"/>
              </w:rPr>
              <w:t>APPROVED change to catalogue language: “Completion of a level-three high school language.”</w:t>
            </w:r>
          </w:p>
        </w:tc>
      </w:tr>
      <w:tr w:rsidR="00283633" w:rsidRPr="00283633" w:rsidTr="00272AD2">
        <w:tc>
          <w:tcPr>
            <w:tcW w:w="823" w:type="dxa"/>
          </w:tcPr>
          <w:p w:rsidR="00283633" w:rsidRPr="00283633" w:rsidRDefault="00283633" w:rsidP="00283633">
            <w:pPr>
              <w:pStyle w:val="NoSpacing"/>
              <w:numPr>
                <w:ilvl w:val="1"/>
                <w:numId w:val="1"/>
              </w:numPr>
              <w:rPr>
                <w:rFonts w:ascii="Times New Roman" w:hAnsi="Times New Roman" w:cs="Times New Roman"/>
              </w:rPr>
            </w:pPr>
          </w:p>
        </w:tc>
        <w:tc>
          <w:tcPr>
            <w:tcW w:w="4410" w:type="dxa"/>
          </w:tcPr>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For discussion only:</w:t>
            </w:r>
          </w:p>
          <w:p w:rsidR="00283633" w:rsidRPr="00283633" w:rsidRDefault="00283633" w:rsidP="00283633">
            <w:pPr>
              <w:pStyle w:val="NoSpacing"/>
              <w:rPr>
                <w:rFonts w:ascii="Times New Roman" w:hAnsi="Times New Roman" w:cs="Times New Roman"/>
              </w:rPr>
            </w:pP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Given that the following precedents exist:</w:t>
            </w:r>
          </w:p>
          <w:p w:rsidR="00283633" w:rsidRPr="00283633" w:rsidRDefault="00283633" w:rsidP="00283633">
            <w:pPr>
              <w:pStyle w:val="NoSpacing"/>
              <w:numPr>
                <w:ilvl w:val="0"/>
                <w:numId w:val="2"/>
              </w:numPr>
              <w:rPr>
                <w:rFonts w:ascii="Times New Roman" w:hAnsi="Times New Roman" w:cs="Times New Roman"/>
              </w:rPr>
            </w:pPr>
            <w:r w:rsidRPr="00283633">
              <w:rPr>
                <w:rFonts w:ascii="Times New Roman" w:hAnsi="Times New Roman" w:cs="Times New Roman"/>
              </w:rPr>
              <w:t>NEASC requires that 1/3 of the credits in a baccalaureate program be general education.  For a 120 credit program, this means that 40 credits is the minimum for NEASC.  The CCSU Gen Ed program is 42-49 credits, larger than the minimum required.</w:t>
            </w:r>
          </w:p>
          <w:p w:rsidR="00283633" w:rsidRPr="00283633" w:rsidRDefault="00283633" w:rsidP="00283633">
            <w:pPr>
              <w:pStyle w:val="NoSpacing"/>
              <w:numPr>
                <w:ilvl w:val="0"/>
                <w:numId w:val="2"/>
              </w:numPr>
              <w:rPr>
                <w:rFonts w:ascii="Times New Roman" w:hAnsi="Times New Roman" w:cs="Times New Roman"/>
              </w:rPr>
            </w:pPr>
            <w:r w:rsidRPr="00283633">
              <w:rPr>
                <w:rFonts w:ascii="Times New Roman" w:hAnsi="Times New Roman" w:cs="Times New Roman"/>
              </w:rPr>
              <w:t xml:space="preserve">The Civil Engineering BS and the Mechanical Engineering BS require only 6 credits in Study area II: Social </w:t>
            </w:r>
            <w:r w:rsidRPr="00283633">
              <w:rPr>
                <w:rFonts w:ascii="Times New Roman" w:hAnsi="Times New Roman" w:cs="Times New Roman"/>
              </w:rPr>
              <w:lastRenderedPageBreak/>
              <w:t>Sciences (instead of 9 credits) and 3 credits (instead of 6 credits) in Study Area III: Behavioral Sciences.  However, they require 8 credits (instead of 6-7 in Study Area IV: Natural Sciences and 8 Credits (instead of 6) in Skill Area II: Mathematics.  The net result is that they redistribute 6 credits and pick up an additional 3-4 credits for a net reduction of 2-3 credits.  They end up with minimum of 40 credits, sufficient to meet NEASC requirements.</w:t>
            </w:r>
          </w:p>
          <w:p w:rsidR="00283633" w:rsidRPr="00283633" w:rsidRDefault="00283633" w:rsidP="00283633">
            <w:pPr>
              <w:pStyle w:val="NoSpacing"/>
              <w:numPr>
                <w:ilvl w:val="0"/>
                <w:numId w:val="2"/>
              </w:numPr>
              <w:rPr>
                <w:rFonts w:ascii="Times New Roman" w:hAnsi="Times New Roman" w:cs="Times New Roman"/>
              </w:rPr>
            </w:pPr>
            <w:r w:rsidRPr="00283633">
              <w:rPr>
                <w:rFonts w:ascii="Times New Roman" w:hAnsi="Times New Roman" w:cs="Times New Roman"/>
              </w:rPr>
              <w:t xml:space="preserve">For the TAP General Education, we have agreed that the two Part B Gen Ed courses coming from different community colleges will automatically apply to Skill Area IV: University Requirement and Study Area III: Behavioral Sciences, regardless of actual content as long as they have been designated as General Education courses in the TAP designation system.  </w:t>
            </w:r>
          </w:p>
          <w:p w:rsidR="00283633" w:rsidRPr="00283633" w:rsidRDefault="00283633" w:rsidP="00283633">
            <w:pPr>
              <w:pStyle w:val="NoSpacing"/>
              <w:rPr>
                <w:rFonts w:ascii="Times New Roman" w:hAnsi="Times New Roman" w:cs="Times New Roman"/>
              </w:rPr>
            </w:pPr>
          </w:p>
          <w:p w:rsidR="00283633" w:rsidRPr="00283633" w:rsidRDefault="00283633" w:rsidP="00283633">
            <w:pPr>
              <w:pStyle w:val="NoSpacing"/>
              <w:rPr>
                <w:rFonts w:ascii="Times New Roman" w:hAnsi="Times New Roman" w:cs="Times New Roman"/>
              </w:rPr>
            </w:pPr>
            <w:r w:rsidRPr="00283633">
              <w:rPr>
                <w:rFonts w:ascii="Times New Roman" w:hAnsi="Times New Roman" w:cs="Times New Roman"/>
              </w:rPr>
              <w:t>The following is proposed to aid in normalization of programs currently larger than 120 credits:</w:t>
            </w:r>
          </w:p>
          <w:p w:rsidR="00283633" w:rsidRPr="00283633" w:rsidRDefault="00283633" w:rsidP="00283633">
            <w:pPr>
              <w:pStyle w:val="NoSpacing"/>
              <w:numPr>
                <w:ilvl w:val="0"/>
                <w:numId w:val="3"/>
              </w:numPr>
              <w:rPr>
                <w:rFonts w:ascii="Times New Roman" w:hAnsi="Times New Roman" w:cs="Times New Roman"/>
              </w:rPr>
            </w:pPr>
            <w:r w:rsidRPr="00283633">
              <w:rPr>
                <w:rFonts w:ascii="Times New Roman" w:hAnsi="Times New Roman" w:cs="Times New Roman"/>
              </w:rPr>
              <w:t>One course requirement can be reduced from any single Study area or Skill area.  Each Study or Skill area must be filled by at least one course.</w:t>
            </w:r>
          </w:p>
          <w:p w:rsidR="00283633" w:rsidRPr="00283633" w:rsidRDefault="00283633" w:rsidP="00283633">
            <w:pPr>
              <w:pStyle w:val="NoSpacing"/>
              <w:numPr>
                <w:ilvl w:val="0"/>
                <w:numId w:val="3"/>
              </w:numPr>
              <w:rPr>
                <w:rFonts w:ascii="Times New Roman" w:hAnsi="Times New Roman" w:cs="Times New Roman"/>
              </w:rPr>
            </w:pPr>
            <w:r w:rsidRPr="00283633">
              <w:rPr>
                <w:rFonts w:ascii="Times New Roman" w:hAnsi="Times New Roman" w:cs="Times New Roman"/>
              </w:rPr>
              <w:t>The total number of Gen Ed credits must be a minimum of 40 credits.</w:t>
            </w:r>
          </w:p>
          <w:p w:rsidR="00283633" w:rsidRPr="00283633" w:rsidRDefault="00283633" w:rsidP="00283633">
            <w:pPr>
              <w:pStyle w:val="NoSpacing"/>
              <w:numPr>
                <w:ilvl w:val="0"/>
                <w:numId w:val="3"/>
              </w:numPr>
              <w:rPr>
                <w:rFonts w:ascii="Times New Roman" w:hAnsi="Times New Roman" w:cs="Times New Roman"/>
              </w:rPr>
            </w:pPr>
            <w:r w:rsidRPr="00283633">
              <w:rPr>
                <w:rFonts w:ascii="Times New Roman" w:hAnsi="Times New Roman" w:cs="Times New Roman"/>
              </w:rPr>
              <w:t>Double counting rules for major and related required courses (8 credits in Study Area, 8 credits in Skill Area) must still be maintained.</w:t>
            </w:r>
          </w:p>
          <w:p w:rsidR="00283633" w:rsidRPr="00283633" w:rsidRDefault="00283633" w:rsidP="00283633">
            <w:pPr>
              <w:pStyle w:val="NoSpacing"/>
              <w:rPr>
                <w:rFonts w:ascii="Times New Roman" w:hAnsi="Times New Roman" w:cs="Times New Roman"/>
              </w:rPr>
            </w:pPr>
          </w:p>
        </w:tc>
        <w:tc>
          <w:tcPr>
            <w:tcW w:w="3420" w:type="dxa"/>
          </w:tcPr>
          <w:p w:rsidR="00283633" w:rsidRPr="00283633" w:rsidRDefault="002F3E7E" w:rsidP="00283633">
            <w:pPr>
              <w:pStyle w:val="NoSpacing"/>
              <w:rPr>
                <w:rFonts w:ascii="Times New Roman" w:hAnsi="Times New Roman" w:cs="Times New Roman"/>
              </w:rPr>
            </w:pPr>
            <w:r>
              <w:rPr>
                <w:rFonts w:ascii="Times New Roman" w:hAnsi="Times New Roman" w:cs="Times New Roman"/>
              </w:rPr>
              <w:lastRenderedPageBreak/>
              <w:t>MOVED to advance to full committee FOR DISCUSSION ONLY.</w:t>
            </w:r>
          </w:p>
        </w:tc>
      </w:tr>
    </w:tbl>
    <w:p w:rsidR="00283633" w:rsidRPr="00283633" w:rsidRDefault="00283633" w:rsidP="00283633">
      <w:pPr>
        <w:pStyle w:val="NoSpacing"/>
        <w:rPr>
          <w:rFonts w:ascii="Times New Roman" w:hAnsi="Times New Roman" w:cs="Times New Roman"/>
        </w:rPr>
      </w:pPr>
    </w:p>
    <w:p w:rsidR="00283633" w:rsidRPr="00283633" w:rsidRDefault="002F3E7E" w:rsidP="00283633">
      <w:pPr>
        <w:pStyle w:val="NoSpacing"/>
        <w:rPr>
          <w:rFonts w:ascii="Times New Roman" w:hAnsi="Times New Roman" w:cs="Times New Roman"/>
        </w:rPr>
      </w:pPr>
      <w:r>
        <w:rPr>
          <w:rFonts w:ascii="Times New Roman" w:hAnsi="Times New Roman" w:cs="Times New Roman"/>
        </w:rPr>
        <w:t>Submitted: Mary Anne Nunn</w:t>
      </w:r>
    </w:p>
    <w:p w:rsidR="00283633" w:rsidRDefault="00283633" w:rsidP="002A12D9">
      <w:pPr>
        <w:pStyle w:val="NoSpacing"/>
        <w:rPr>
          <w:rFonts w:ascii="Times New Roman" w:hAnsi="Times New Roman" w:cs="Times New Roman"/>
        </w:rPr>
      </w:pPr>
    </w:p>
    <w:sectPr w:rsidR="0028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0F9D"/>
    <w:multiLevelType w:val="hybridMultilevel"/>
    <w:tmpl w:val="5FC6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F5244"/>
    <w:multiLevelType w:val="hybridMultilevel"/>
    <w:tmpl w:val="9926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E274A"/>
    <w:multiLevelType w:val="hybridMultilevel"/>
    <w:tmpl w:val="1B30456A"/>
    <w:lvl w:ilvl="0" w:tplc="B94AECB2">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63C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8238C2"/>
    <w:multiLevelType w:val="hybridMultilevel"/>
    <w:tmpl w:val="960A6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D9"/>
    <w:rsid w:val="00283633"/>
    <w:rsid w:val="002A12D9"/>
    <w:rsid w:val="002F3E7E"/>
    <w:rsid w:val="00794295"/>
    <w:rsid w:val="007A621A"/>
    <w:rsid w:val="008C23FA"/>
    <w:rsid w:val="00A2327E"/>
    <w:rsid w:val="00B74A0C"/>
    <w:rsid w:val="00B84329"/>
    <w:rsid w:val="00DA0555"/>
    <w:rsid w:val="00E738EA"/>
    <w:rsid w:val="00F53672"/>
    <w:rsid w:val="00F85D40"/>
    <w:rsid w:val="00FF0C2C"/>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CB392-8690-4B52-A584-34729CBC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2C"/>
  </w:style>
  <w:style w:type="paragraph" w:styleId="Heading1">
    <w:name w:val="heading 1"/>
    <w:basedOn w:val="Normal"/>
    <w:next w:val="Normal"/>
    <w:link w:val="Heading1Char"/>
    <w:uiPriority w:val="9"/>
    <w:qFormat/>
    <w:rsid w:val="00FF0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2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F0C2C"/>
    <w:pPr>
      <w:spacing w:after="0"/>
    </w:pPr>
  </w:style>
  <w:style w:type="paragraph" w:styleId="EnvelopeReturn">
    <w:name w:val="envelope return"/>
    <w:basedOn w:val="Normal"/>
    <w:uiPriority w:val="99"/>
    <w:semiHidden/>
    <w:unhideWhenUsed/>
    <w:rsid w:val="00B84329"/>
    <w:pPr>
      <w:spacing w:after="0"/>
    </w:pPr>
    <w:rPr>
      <w:rFonts w:ascii="Times New Roman" w:eastAsiaTheme="majorEastAsia" w:hAnsi="Times New Roman" w:cstheme="majorBidi"/>
      <w:sz w:val="20"/>
      <w:szCs w:val="20"/>
    </w:rPr>
  </w:style>
  <w:style w:type="table" w:styleId="TableGrid">
    <w:name w:val="Table Grid"/>
    <w:basedOn w:val="TableNormal"/>
    <w:uiPriority w:val="59"/>
    <w:rsid w:val="002836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633"/>
    <w:rPr>
      <w:color w:val="0000FF" w:themeColor="hyperlink"/>
      <w:u w:val="single"/>
    </w:rPr>
  </w:style>
  <w:style w:type="paragraph" w:styleId="NormalWeb">
    <w:name w:val="Normal (Web)"/>
    <w:basedOn w:val="Normal"/>
    <w:uiPriority w:val="99"/>
    <w:semiHidden/>
    <w:unhideWhenUsed/>
    <w:rsid w:val="0028363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2B79DDAA-9200-4491-93B2-90BE2253F244%7d&amp;item=%7b87ED9ABC-BED2-4B09-B1A8-F6B019AD7C93%7d" TargetMode="External"/><Relationship Id="rId13" Type="http://schemas.openxmlformats.org/officeDocument/2006/relationships/hyperlink" Target="https://ccsu.smartcatalogiq.com/?sc_itemid=%7bB8A95CEE-7313-4300-8B63-AF30FCE65521%7d&amp;item=%7b5F0F1C5D-01BB-4320-8A29-5CA9849B2EDD%7d" TargetMode="External"/><Relationship Id="rId18" Type="http://schemas.openxmlformats.org/officeDocument/2006/relationships/hyperlink" Target="http://ccsu.smartcatalogiq.com/current/Undergraduate-Graduate-Catalog/Undergraduate-General-Education-Program/Skill-Area-III-Foreign-Language-Proficiency" TargetMode="External"/><Relationship Id="rId3" Type="http://schemas.openxmlformats.org/officeDocument/2006/relationships/settings" Target="settings.xml"/><Relationship Id="rId7" Type="http://schemas.openxmlformats.org/officeDocument/2006/relationships/hyperlink" Target="https://ccsu.smartcatalogiq.com/?sc_itemid=%7bB8A95CEE-7313-4300-8B63-AF30FCE65521%7d&amp;item=%7bB7E36F3B-76F3-4051-A558-F48E37AB60C4%7d" TargetMode="External"/><Relationship Id="rId12" Type="http://schemas.openxmlformats.org/officeDocument/2006/relationships/hyperlink" Target="https://ccsu.smartcatalogiq.com/?sc_itemid=%7b2B79DDAA-9200-4491-93B2-90BE2253F244%7d&amp;item=%7b99F7F628-24C2-4B9E-9AA5-A9853EAA62F8%7d" TargetMode="External"/><Relationship Id="rId17" Type="http://schemas.openxmlformats.org/officeDocument/2006/relationships/hyperlink" Target="http://web.ccsu.edu/curriculumcommittee/files/Pathways/History%20Pathway%20Documents%5B1%5D.pdf" TargetMode="External"/><Relationship Id="rId2" Type="http://schemas.openxmlformats.org/officeDocument/2006/relationships/styles" Target="styles.xml"/><Relationship Id="rId16" Type="http://schemas.openxmlformats.org/officeDocument/2006/relationships/hyperlink" Target="http://web.ccsu.edu/curriculumcommittee/files/Pathways/English%20Pathway%20Document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csu.smartcatalogiq.com/?sc_itemid=%7bB8A95CEE-7313-4300-8B63-AF30FCE65521%7d&amp;item=%7bB4E96DF2-768E-4F58-975E-F7BEC440810B%7d" TargetMode="External"/><Relationship Id="rId11" Type="http://schemas.openxmlformats.org/officeDocument/2006/relationships/hyperlink" Target="https://ccsu.smartcatalogiq.com/?sc_itemid=%7b2B79DDAA-9200-4491-93B2-90BE2253F244%7d&amp;item=%7b74586752-A70B-4973-9F22-14AFB3F985A9%7d" TargetMode="External"/><Relationship Id="rId5" Type="http://schemas.openxmlformats.org/officeDocument/2006/relationships/hyperlink" Target="https://ccsu.smartcatalogiq.com/?sc_itemid=%7bB8A95CEE-7313-4300-8B63-AF30FCE65521%7d&amp;item=%7bCBBEFD12-363A-4B6E-A04C-A8CD163854B9%7d" TargetMode="External"/><Relationship Id="rId15" Type="http://schemas.openxmlformats.org/officeDocument/2006/relationships/hyperlink" Target="https://ccsu.smartcatalogiq.com/?sc_itemid=%7bB8A95CEE-7313-4300-8B63-AF30FCE65521%7d&amp;item=%7b78AEF33A-DD4C-46A6-A55E-165A52E11AEB%7d" TargetMode="External"/><Relationship Id="rId10" Type="http://schemas.openxmlformats.org/officeDocument/2006/relationships/hyperlink" Target="https://ccsu.smartcatalogiq.com/?sc_itemid=%7b2B79DDAA-9200-4491-93B2-90BE2253F244%7d&amp;item=%7bFB0AD60A-8516-46B4-B336-3E74F56AB1FD%7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csu.smartcatalogiq.com/?sc_itemid=%7bB8A95CEE-7313-4300-8B63-AF30FCE65521%7d&amp;item=%7b5FF4AA79-6CFA-4061-A4FF-AA23052E799C%7d" TargetMode="External"/><Relationship Id="rId14" Type="http://schemas.openxmlformats.org/officeDocument/2006/relationships/hyperlink" Target="https://ccsu.smartcatalogiq.com/?sc_itemid=%7bB8A95CEE-7313-4300-8B63-AF30FCE65521%7d&amp;item=%7b3904705D-65C6-48D8-9347-6789D19613AE%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dc:creator>
  <cp:lastModifiedBy>Nunn, Mary Anne (English)</cp:lastModifiedBy>
  <cp:revision>3</cp:revision>
  <dcterms:created xsi:type="dcterms:W3CDTF">2015-11-23T14:46:00Z</dcterms:created>
  <dcterms:modified xsi:type="dcterms:W3CDTF">2015-11-23T16:11:00Z</dcterms:modified>
</cp:coreProperties>
</file>